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76B2" w:rsidRDefault="009F469F">
      <w:pPr>
        <w:spacing w:after="0" w:line="240" w:lineRule="auto"/>
        <w:jc w:val="center"/>
        <w:rPr>
          <w:rFonts w:ascii="Times New Roman" w:eastAsia="Times New Roman" w:hAnsi="Times New Roman" w:cs="Times New Roman"/>
          <w:sz w:val="28"/>
          <w:rtl/>
        </w:rPr>
      </w:pPr>
      <w:r>
        <w:rPr>
          <w:noProof/>
        </w:rPr>
        <w:object w:dxaOrig="10468" w:dyaOrig="1785">
          <v:rect id="rectole0000000000" o:spid="_x0000_i1025" style="width:523.2pt;height:89.75pt" o:ole="" o:preferrelative="t" stroked="f">
            <v:imagedata r:id="rId5" o:title=""/>
          </v:rect>
          <o:OLEObject Type="Embed" ProgID="StaticMetafile" ShapeID="rectole0000000000" DrawAspect="Content" ObjectID="_1618906277" r:id="rId6"/>
        </w:object>
      </w:r>
    </w:p>
    <w:p w:rsidR="004E76B2" w:rsidRDefault="004E76B2">
      <w:pPr>
        <w:spacing w:after="0" w:line="240" w:lineRule="auto"/>
        <w:jc w:val="center"/>
        <w:rPr>
          <w:rFonts w:ascii="Times New Roman" w:eastAsia="Times New Roman" w:hAnsi="Times New Roman" w:cs="Times New Roman"/>
          <w:sz w:val="28"/>
        </w:rPr>
      </w:pPr>
    </w:p>
    <w:p w:rsidR="004E76B2" w:rsidRDefault="009F469F" w:rsidP="004D7F7B">
      <w:pPr>
        <w:spacing w:after="0" w:line="240" w:lineRule="auto"/>
        <w:jc w:val="center"/>
        <w:rPr>
          <w:rFonts w:ascii="Times New Roman" w:eastAsia="Times New Roman" w:hAnsi="Times New Roman" w:cs="Times New Roman"/>
          <w:b/>
          <w:color w:val="FF0000"/>
          <w:sz w:val="36"/>
          <w:rtl/>
        </w:rPr>
      </w:pPr>
      <w:r>
        <w:rPr>
          <w:rFonts w:ascii="Times New Roman" w:eastAsia="Times New Roman" w:hAnsi="Times New Roman" w:cs="Times New Roman"/>
          <w:b/>
          <w:bCs/>
          <w:color w:val="FF0000"/>
          <w:sz w:val="36"/>
          <w:szCs w:val="36"/>
          <w:rtl/>
        </w:rPr>
        <w:t>عنوان البحث</w:t>
      </w:r>
    </w:p>
    <w:p w:rsidR="004D7F7B" w:rsidRPr="004D7F7B" w:rsidRDefault="00B131EF" w:rsidP="004D7F7B">
      <w:pPr>
        <w:spacing w:after="0" w:line="240" w:lineRule="auto"/>
        <w:jc w:val="center"/>
        <w:rPr>
          <w:rFonts w:ascii="Times New Roman" w:eastAsia="Times New Roman" w:hAnsi="Times New Roman" w:cs="Times New Roman"/>
          <w:b/>
          <w:color w:val="FF0000"/>
          <w:sz w:val="28"/>
          <w:szCs w:val="28"/>
          <w:lang w:bidi="ar-IQ"/>
        </w:rPr>
      </w:pPr>
      <w:r>
        <w:rPr>
          <w:rFonts w:ascii="Times New Roman" w:eastAsia="Times New Roman" w:hAnsi="Times New Roman" w:cs="Times New Roman" w:hint="cs"/>
          <w:b/>
          <w:color w:val="FF0000"/>
          <w:sz w:val="28"/>
          <w:szCs w:val="28"/>
          <w:rtl/>
        </w:rPr>
        <w:t>(</w:t>
      </w:r>
      <w:r w:rsidR="001D24EC">
        <w:rPr>
          <w:rFonts w:ascii="Times New Roman" w:eastAsia="Times New Roman" w:hAnsi="Times New Roman" w:cs="Times New Roman" w:hint="cs"/>
          <w:b/>
          <w:color w:val="FF0000"/>
          <w:sz w:val="28"/>
          <w:szCs w:val="28"/>
          <w:rtl/>
        </w:rPr>
        <w:t xml:space="preserve">القوة الانفجارية للرجلين والذراعين وعلاقتها بدقة التصويب من القفز في كرة اليد </w:t>
      </w:r>
      <w:r>
        <w:rPr>
          <w:rFonts w:ascii="Times New Roman" w:eastAsia="Times New Roman" w:hAnsi="Times New Roman" w:cs="Times New Roman" w:hint="cs"/>
          <w:b/>
          <w:color w:val="FF0000"/>
          <w:sz w:val="28"/>
          <w:szCs w:val="28"/>
          <w:rtl/>
          <w:lang w:bidi="ar-IQ"/>
        </w:rPr>
        <w:t>)</w:t>
      </w:r>
    </w:p>
    <w:p w:rsidR="004E76B2" w:rsidRDefault="009F469F" w:rsidP="00776240">
      <w:pPr>
        <w:spacing w:after="0" w:line="240" w:lineRule="auto"/>
        <w:jc w:val="center"/>
        <w:rPr>
          <w:rFonts w:ascii="Times New Roman" w:eastAsia="Times New Roman" w:hAnsi="Times New Roman" w:cs="Times New Roman"/>
          <w:b/>
          <w:color w:val="1F497D"/>
          <w:sz w:val="32"/>
          <w:szCs w:val="32"/>
          <w:rtl/>
        </w:rPr>
      </w:pPr>
      <w:r>
        <w:rPr>
          <w:rFonts w:ascii="Times New Roman" w:eastAsia="Times New Roman" w:hAnsi="Times New Roman" w:cs="Times New Roman"/>
          <w:b/>
          <w:bCs/>
          <w:color w:val="1F497D"/>
          <w:sz w:val="32"/>
          <w:szCs w:val="32"/>
          <w:rtl/>
        </w:rPr>
        <w:t>اسم الباحثة</w:t>
      </w:r>
      <w:r w:rsidR="00B131EF">
        <w:rPr>
          <w:rFonts w:ascii="Times New Roman" w:eastAsia="Times New Roman" w:hAnsi="Times New Roman" w:cs="Times New Roman" w:hint="cs"/>
          <w:b/>
          <w:bCs/>
          <w:color w:val="1F497D"/>
          <w:sz w:val="32"/>
          <w:szCs w:val="32"/>
          <w:rtl/>
        </w:rPr>
        <w:t>:</w:t>
      </w:r>
      <w:r>
        <w:rPr>
          <w:rFonts w:ascii="Times New Roman" w:eastAsia="Times New Roman" w:hAnsi="Times New Roman" w:cs="Times New Roman"/>
          <w:b/>
          <w:bCs/>
          <w:color w:val="1F497D"/>
          <w:sz w:val="32"/>
          <w:szCs w:val="32"/>
          <w:rtl/>
        </w:rPr>
        <w:t xml:space="preserve"> </w:t>
      </w:r>
      <w:r w:rsidR="001D24EC">
        <w:rPr>
          <w:rFonts w:ascii="Times New Roman" w:eastAsia="Times New Roman" w:hAnsi="Times New Roman" w:cs="Times New Roman" w:hint="cs"/>
          <w:b/>
          <w:bCs/>
          <w:color w:val="1F497D"/>
          <w:sz w:val="32"/>
          <w:szCs w:val="32"/>
          <w:rtl/>
        </w:rPr>
        <w:t>شهد شاكر خضر</w:t>
      </w:r>
      <w:r w:rsidR="00776240">
        <w:rPr>
          <w:rFonts w:ascii="Times New Roman" w:eastAsia="Times New Roman" w:hAnsi="Times New Roman" w:cs="Times New Roman"/>
          <w:b/>
          <w:bCs/>
          <w:color w:val="1F497D"/>
          <w:sz w:val="32"/>
          <w:szCs w:val="32"/>
          <w:rtl/>
        </w:rPr>
        <w:t xml:space="preserve">  </w:t>
      </w:r>
      <w:r w:rsidR="00776240">
        <w:rPr>
          <w:rFonts w:ascii="Times New Roman" w:eastAsia="Times New Roman" w:hAnsi="Times New Roman" w:cs="Times New Roman" w:hint="cs"/>
          <w:b/>
          <w:color w:val="1F497D"/>
          <w:sz w:val="32"/>
          <w:rtl/>
        </w:rPr>
        <w:t xml:space="preserve">                 </w:t>
      </w:r>
      <w:r>
        <w:rPr>
          <w:rFonts w:ascii="Times New Roman" w:eastAsia="Times New Roman" w:hAnsi="Times New Roman" w:cs="Times New Roman"/>
          <w:b/>
          <w:bCs/>
          <w:color w:val="1F497D"/>
          <w:sz w:val="32"/>
          <w:szCs w:val="32"/>
          <w:rtl/>
        </w:rPr>
        <w:t>اسم المشرفة</w:t>
      </w:r>
      <w:r w:rsidR="00B131EF">
        <w:rPr>
          <w:rFonts w:ascii="Times New Roman" w:eastAsia="Times New Roman" w:hAnsi="Times New Roman" w:cs="Times New Roman"/>
          <w:b/>
          <w:color w:val="1F497D"/>
          <w:sz w:val="32"/>
        </w:rPr>
        <w:t xml:space="preserve"> :</w:t>
      </w:r>
      <w:r w:rsidR="00B131EF">
        <w:rPr>
          <w:rFonts w:ascii="Times New Roman" w:eastAsia="Times New Roman" w:hAnsi="Times New Roman" w:cs="Times New Roman" w:hint="cs"/>
          <w:b/>
          <w:color w:val="1F497D"/>
          <w:sz w:val="32"/>
          <w:szCs w:val="32"/>
          <w:rtl/>
        </w:rPr>
        <w:t>ا</w:t>
      </w:r>
      <w:r w:rsidR="001D24EC">
        <w:rPr>
          <w:rFonts w:ascii="Times New Roman" w:eastAsia="Times New Roman" w:hAnsi="Times New Roman" w:cs="Times New Roman" w:hint="cs"/>
          <w:b/>
          <w:color w:val="1F497D"/>
          <w:sz w:val="32"/>
          <w:szCs w:val="32"/>
          <w:rtl/>
          <w:lang w:bidi="ar-IQ"/>
        </w:rPr>
        <w:t xml:space="preserve">.د .غصون ناطق </w:t>
      </w:r>
    </w:p>
    <w:p w:rsidR="00776240" w:rsidRPr="00776240" w:rsidRDefault="009F469F" w:rsidP="001D24EC">
      <w:pPr>
        <w:spacing w:after="0" w:line="240" w:lineRule="auto"/>
        <w:rPr>
          <w:rFonts w:ascii="Times New Roman" w:eastAsia="Times New Roman" w:hAnsi="Times New Roman" w:cs="Times New Roman"/>
          <w:b/>
          <w:color w:val="FF0000"/>
          <w:sz w:val="32"/>
        </w:rPr>
      </w:pPr>
      <w:r>
        <w:rPr>
          <w:rFonts w:ascii="Times New Roman" w:eastAsia="Times New Roman" w:hAnsi="Times New Roman" w:cs="Times New Roman"/>
          <w:b/>
          <w:bCs/>
          <w:color w:val="FF0000"/>
          <w:sz w:val="32"/>
          <w:szCs w:val="32"/>
          <w:rtl/>
        </w:rPr>
        <w:t>أهداف البحث</w:t>
      </w:r>
      <w:r>
        <w:rPr>
          <w:rFonts w:ascii="Times New Roman" w:eastAsia="Times New Roman" w:hAnsi="Times New Roman" w:cs="Times New Roman"/>
          <w:b/>
          <w:color w:val="FF0000"/>
          <w:sz w:val="32"/>
        </w:rPr>
        <w:t>.</w:t>
      </w:r>
      <w:r w:rsidR="001D24EC">
        <w:rPr>
          <w:rFonts w:ascii="Times New Roman" w:eastAsia="Times New Roman" w:hAnsi="Times New Roman" w:cs="Times New Roman" w:hint="cs"/>
          <w:b/>
          <w:color w:val="FF0000"/>
          <w:sz w:val="32"/>
          <w:rtl/>
        </w:rPr>
        <w:t>1_التعرف على علاقة القوة الانفجارية للرجلين والذراعين بدقة التصويب من القفز لدى لاعبات فريق كرة اليد في كلية التربية البدنية وعلوم الرياضة للبنات .</w:t>
      </w:r>
    </w:p>
    <w:p w:rsidR="004E76B2" w:rsidRDefault="009F469F">
      <w:pPr>
        <w:spacing w:after="0" w:line="240" w:lineRule="auto"/>
        <w:rPr>
          <w:rFonts w:ascii="Times New Roman" w:eastAsia="Times New Roman" w:hAnsi="Times New Roman" w:cs="Times New Roman"/>
          <w:b/>
          <w:color w:val="FF0000"/>
          <w:sz w:val="32"/>
        </w:rPr>
      </w:pPr>
      <w:r>
        <w:rPr>
          <w:rFonts w:ascii="Times New Roman" w:eastAsia="Times New Roman" w:hAnsi="Times New Roman" w:cs="Times New Roman"/>
          <w:b/>
          <w:bCs/>
          <w:color w:val="FF0000"/>
          <w:sz w:val="32"/>
          <w:szCs w:val="32"/>
          <w:rtl/>
        </w:rPr>
        <w:t>منهج البحث</w:t>
      </w:r>
      <w:r>
        <w:rPr>
          <w:rFonts w:ascii="Times New Roman" w:eastAsia="Times New Roman" w:hAnsi="Times New Roman" w:cs="Times New Roman"/>
          <w:b/>
          <w:color w:val="FF0000"/>
          <w:sz w:val="32"/>
        </w:rPr>
        <w:t>.</w:t>
      </w:r>
      <w:r w:rsidR="001D24EC">
        <w:rPr>
          <w:rFonts w:ascii="Times New Roman" w:eastAsia="Times New Roman" w:hAnsi="Times New Roman" w:cs="Times New Roman" w:hint="cs"/>
          <w:b/>
          <w:color w:val="FF0000"/>
          <w:sz w:val="32"/>
          <w:rtl/>
        </w:rPr>
        <w:t xml:space="preserve"> استخدمت الباحثة المنهج الوصفي </w:t>
      </w:r>
      <w:proofErr w:type="spellStart"/>
      <w:r w:rsidR="001D24EC">
        <w:rPr>
          <w:rFonts w:ascii="Times New Roman" w:eastAsia="Times New Roman" w:hAnsi="Times New Roman" w:cs="Times New Roman" w:hint="cs"/>
          <w:b/>
          <w:color w:val="FF0000"/>
          <w:sz w:val="32"/>
          <w:rtl/>
        </w:rPr>
        <w:t>بالاسلوب</w:t>
      </w:r>
      <w:proofErr w:type="spellEnd"/>
      <w:r w:rsidR="001D24EC">
        <w:rPr>
          <w:rFonts w:ascii="Times New Roman" w:eastAsia="Times New Roman" w:hAnsi="Times New Roman" w:cs="Times New Roman" w:hint="cs"/>
          <w:b/>
          <w:color w:val="FF0000"/>
          <w:sz w:val="32"/>
          <w:rtl/>
        </w:rPr>
        <w:t xml:space="preserve"> المسحي وذلك</w:t>
      </w:r>
      <w:r w:rsidR="00776240">
        <w:rPr>
          <w:rFonts w:ascii="Times New Roman" w:eastAsia="Times New Roman" w:hAnsi="Times New Roman" w:cs="Times New Roman" w:hint="cs"/>
          <w:b/>
          <w:color w:val="FF0000"/>
          <w:sz w:val="32"/>
          <w:rtl/>
        </w:rPr>
        <w:t xml:space="preserve"> لملائمة </w:t>
      </w:r>
      <w:r w:rsidR="001D24EC">
        <w:rPr>
          <w:rFonts w:ascii="Times New Roman" w:eastAsia="Times New Roman" w:hAnsi="Times New Roman" w:cs="Times New Roman" w:hint="cs"/>
          <w:b/>
          <w:color w:val="FF0000"/>
          <w:sz w:val="32"/>
          <w:rtl/>
        </w:rPr>
        <w:t xml:space="preserve"> طبيعة البحث اذ يهدف البحث الوصفي الى جمع البيانات لمحاولة اختيار فروض او الاجابة على التساؤلات تتعلق بالحالة الراهنة لأفراد البحث</w:t>
      </w:r>
      <w:r w:rsidR="00415655">
        <w:rPr>
          <w:rFonts w:ascii="Times New Roman" w:eastAsia="Times New Roman" w:hAnsi="Times New Roman" w:cs="Times New Roman" w:hint="cs"/>
          <w:b/>
          <w:color w:val="FF0000"/>
          <w:sz w:val="32"/>
          <w:rtl/>
        </w:rPr>
        <w:t>.</w:t>
      </w:r>
    </w:p>
    <w:p w:rsidR="004E76B2" w:rsidRDefault="009F469F">
      <w:pPr>
        <w:spacing w:after="0" w:line="240" w:lineRule="auto"/>
        <w:rPr>
          <w:rFonts w:ascii="Times New Roman" w:eastAsia="Times New Roman" w:hAnsi="Times New Roman" w:cs="Times New Roman"/>
          <w:b/>
          <w:color w:val="FF0000"/>
          <w:sz w:val="32"/>
        </w:rPr>
      </w:pPr>
      <w:r>
        <w:rPr>
          <w:rFonts w:ascii="Times New Roman" w:eastAsia="Times New Roman" w:hAnsi="Times New Roman" w:cs="Times New Roman"/>
          <w:b/>
          <w:bCs/>
          <w:color w:val="FF0000"/>
          <w:sz w:val="32"/>
          <w:szCs w:val="32"/>
          <w:rtl/>
        </w:rPr>
        <w:t>عينة البحث</w:t>
      </w:r>
      <w:r>
        <w:rPr>
          <w:rFonts w:ascii="Times New Roman" w:eastAsia="Times New Roman" w:hAnsi="Times New Roman" w:cs="Times New Roman"/>
          <w:b/>
          <w:color w:val="FF0000"/>
          <w:sz w:val="32"/>
        </w:rPr>
        <w:t>.</w:t>
      </w:r>
      <w:r w:rsidR="001D24EC">
        <w:rPr>
          <w:rFonts w:ascii="Times New Roman" w:eastAsia="Times New Roman" w:hAnsi="Times New Roman" w:cs="Times New Roman" w:hint="cs"/>
          <w:b/>
          <w:color w:val="FF0000"/>
          <w:sz w:val="32"/>
          <w:rtl/>
        </w:rPr>
        <w:t xml:space="preserve"> تمثل مجتمع البحث لفريق كرة اليد لكلية التربية البدنية وعلوم الرياضة للبنات عددهن 25 لاعبة تم اختيارهم بالطريقة العشوائية المنتظمة عن طريق القرعة وتم اختيار 20 لاعبة واستبعاد 5 لاعبات للتجربة الاستطلاعية .</w:t>
      </w:r>
    </w:p>
    <w:p w:rsidR="004E76B2" w:rsidRPr="001F4BFF" w:rsidRDefault="009F469F" w:rsidP="001D24EC">
      <w:pPr>
        <w:spacing w:after="0" w:line="240" w:lineRule="auto"/>
        <w:rPr>
          <w:rFonts w:ascii="Times New Roman" w:eastAsia="Times New Roman" w:hAnsi="Times New Roman" w:cs="Times New Roman"/>
          <w:b/>
          <w:color w:val="FF0000"/>
          <w:sz w:val="28"/>
          <w:szCs w:val="28"/>
          <w:rtl/>
        </w:rPr>
      </w:pPr>
      <w:r>
        <w:rPr>
          <w:rFonts w:ascii="Times New Roman" w:eastAsia="Times New Roman" w:hAnsi="Times New Roman" w:cs="Times New Roman"/>
          <w:b/>
          <w:bCs/>
          <w:color w:val="FF0000"/>
          <w:sz w:val="32"/>
          <w:szCs w:val="32"/>
          <w:rtl/>
        </w:rPr>
        <w:t xml:space="preserve">إجراءات البحث بشكل ملخص </w:t>
      </w:r>
      <w:r w:rsidR="00415655">
        <w:rPr>
          <w:rFonts w:ascii="Times New Roman" w:eastAsia="Times New Roman" w:hAnsi="Times New Roman" w:cs="Times New Roman" w:hint="cs"/>
          <w:b/>
          <w:color w:val="FF0000"/>
          <w:sz w:val="32"/>
          <w:rtl/>
        </w:rPr>
        <w:t>:</w:t>
      </w:r>
      <w:r w:rsidR="00362B94" w:rsidRPr="00362B94">
        <w:rPr>
          <w:rtl/>
        </w:rPr>
        <w:t xml:space="preserve"> </w:t>
      </w:r>
      <w:r w:rsidR="00362B94" w:rsidRPr="00362B94">
        <w:rPr>
          <w:rFonts w:ascii="Times New Roman" w:eastAsia="Times New Roman" w:hAnsi="Times New Roman" w:cs="Times New Roman"/>
          <w:b/>
          <w:color w:val="FF0000"/>
          <w:sz w:val="28"/>
          <w:szCs w:val="28"/>
          <w:rtl/>
        </w:rPr>
        <w:t xml:space="preserve">اشتمل البحث على خمسة ابواب وتناول الباب الاول مقدمة واهمية البحث ان التطور السريع في عديد من نواحي الحياة وظهور اتجاهات حديثة وافكار تدريبية في كافة المجالات ومنها المجال الرياضي وتناولت مشكلة البحث هي ان القوة لها تأثير على الاداء </w:t>
      </w:r>
      <w:proofErr w:type="spellStart"/>
      <w:r w:rsidR="00362B94" w:rsidRPr="00362B94">
        <w:rPr>
          <w:rFonts w:ascii="Times New Roman" w:eastAsia="Times New Roman" w:hAnsi="Times New Roman" w:cs="Times New Roman"/>
          <w:b/>
          <w:color w:val="FF0000"/>
          <w:sz w:val="28"/>
          <w:szCs w:val="28"/>
          <w:rtl/>
        </w:rPr>
        <w:t>المهاري</w:t>
      </w:r>
      <w:proofErr w:type="spellEnd"/>
      <w:r w:rsidR="00362B94" w:rsidRPr="00362B94">
        <w:rPr>
          <w:rFonts w:ascii="Times New Roman" w:eastAsia="Times New Roman" w:hAnsi="Times New Roman" w:cs="Times New Roman"/>
          <w:b/>
          <w:color w:val="FF0000"/>
          <w:sz w:val="28"/>
          <w:szCs w:val="28"/>
          <w:rtl/>
        </w:rPr>
        <w:t xml:space="preserve"> بكرة اليد وكان هدف البحث التعرف على علاقة القوة الانفجارية بالذراعين والرجلين بدقة التصويب من</w:t>
      </w:r>
      <w:r w:rsidR="00362B94">
        <w:rPr>
          <w:rFonts w:ascii="Times New Roman" w:eastAsia="Times New Roman" w:hAnsi="Times New Roman" w:cs="Times New Roman" w:hint="cs"/>
          <w:b/>
          <w:color w:val="FF0000"/>
          <w:sz w:val="28"/>
          <w:szCs w:val="28"/>
          <w:rtl/>
        </w:rPr>
        <w:t xml:space="preserve"> </w:t>
      </w:r>
      <w:r w:rsidR="00362B94" w:rsidRPr="00362B94">
        <w:rPr>
          <w:rFonts w:ascii="Times New Roman" w:eastAsia="Times New Roman" w:hAnsi="Times New Roman" w:cs="Times New Roman"/>
          <w:b/>
          <w:color w:val="FF0000"/>
          <w:sz w:val="28"/>
          <w:szCs w:val="28"/>
          <w:rtl/>
        </w:rPr>
        <w:t>القفز لدى لاعبات فريق كرة اليد في كلية التربية البدنية وعلوم الرياضة للبنات وفروضه كانت لا توجد علاقة بين القوة الانفجارية للذراعين والرجلين بدقة التصويب من القفز لدى لاعبات فريق كرة اليد بكلية التربية البدنية وعلوم الرياضة</w:t>
      </w:r>
      <w:r w:rsidR="00362B94">
        <w:rPr>
          <w:rFonts w:ascii="Times New Roman" w:eastAsia="Times New Roman" w:hAnsi="Times New Roman" w:cs="Times New Roman" w:hint="cs"/>
          <w:b/>
          <w:color w:val="FF0000"/>
          <w:sz w:val="28"/>
          <w:szCs w:val="28"/>
          <w:rtl/>
        </w:rPr>
        <w:t xml:space="preserve"> </w:t>
      </w:r>
    </w:p>
    <w:p w:rsidR="00362B94" w:rsidRPr="00550415" w:rsidRDefault="00362B94" w:rsidP="00362B94">
      <w:pPr>
        <w:tabs>
          <w:tab w:val="left" w:pos="5400"/>
        </w:tabs>
        <w:spacing w:after="0" w:line="240" w:lineRule="auto"/>
        <w:jc w:val="center"/>
        <w:rPr>
          <w:rFonts w:cs="Simplified Arabic"/>
          <w:b/>
          <w:bCs/>
          <w:sz w:val="32"/>
          <w:szCs w:val="32"/>
          <w:rtl/>
        </w:rPr>
      </w:pPr>
      <w:r w:rsidRPr="00550415">
        <w:rPr>
          <w:rFonts w:cs="Simplified Arabic"/>
          <w:b/>
          <w:bCs/>
          <w:sz w:val="32"/>
          <w:szCs w:val="32"/>
          <w:rtl/>
        </w:rPr>
        <w:t>جدول (</w:t>
      </w:r>
      <w:r>
        <w:rPr>
          <w:rFonts w:cs="Simplified Arabic" w:hint="cs"/>
          <w:b/>
          <w:bCs/>
          <w:sz w:val="32"/>
          <w:szCs w:val="32"/>
          <w:rtl/>
        </w:rPr>
        <w:t>2</w:t>
      </w:r>
      <w:r w:rsidRPr="00550415">
        <w:rPr>
          <w:rFonts w:cs="Simplified Arabic"/>
          <w:b/>
          <w:bCs/>
          <w:sz w:val="32"/>
          <w:szCs w:val="32"/>
          <w:rtl/>
        </w:rPr>
        <w:t>)</w:t>
      </w:r>
    </w:p>
    <w:p w:rsidR="00362B94" w:rsidRDefault="00362B94" w:rsidP="00362B94">
      <w:pPr>
        <w:spacing w:after="0" w:line="240" w:lineRule="auto"/>
        <w:jc w:val="center"/>
        <w:rPr>
          <w:rFonts w:cs="Simplified Arabic"/>
          <w:b/>
          <w:bCs/>
          <w:sz w:val="32"/>
          <w:szCs w:val="32"/>
          <w:rtl/>
        </w:rPr>
      </w:pPr>
      <w:r w:rsidRPr="00550415">
        <w:rPr>
          <w:rFonts w:cs="Simplified Arabic"/>
          <w:b/>
          <w:bCs/>
          <w:sz w:val="32"/>
          <w:szCs w:val="32"/>
          <w:rtl/>
        </w:rPr>
        <w:t>جدول يبين الأوساط الحسابية والانحرافات المعيارية</w:t>
      </w:r>
      <w:r w:rsidRPr="00EC7AC3">
        <w:rPr>
          <w:rFonts w:cs="Simplified Arabic" w:hint="cs"/>
          <w:b/>
          <w:bCs/>
          <w:sz w:val="32"/>
          <w:szCs w:val="32"/>
          <w:rtl/>
        </w:rPr>
        <w:t xml:space="preserve"> </w:t>
      </w:r>
      <w:r>
        <w:rPr>
          <w:rFonts w:cs="Simplified Arabic" w:hint="cs"/>
          <w:b/>
          <w:bCs/>
          <w:sz w:val="32"/>
          <w:szCs w:val="32"/>
          <w:rtl/>
        </w:rPr>
        <w:t xml:space="preserve">للرجلين ودقة </w:t>
      </w:r>
      <w:r w:rsidRPr="00550415">
        <w:rPr>
          <w:rFonts w:cs="Simplified Arabic" w:hint="cs"/>
          <w:b/>
          <w:bCs/>
          <w:sz w:val="32"/>
          <w:szCs w:val="32"/>
          <w:rtl/>
        </w:rPr>
        <w:t>التصويب بكرة اليد</w:t>
      </w:r>
      <w:r>
        <w:rPr>
          <w:rFonts w:cs="Simplified Arabic" w:hint="cs"/>
          <w:b/>
          <w:bCs/>
          <w:sz w:val="32"/>
          <w:szCs w:val="32"/>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1214"/>
        <w:gridCol w:w="1570"/>
        <w:gridCol w:w="1426"/>
        <w:gridCol w:w="1157"/>
        <w:gridCol w:w="1177"/>
      </w:tblGrid>
      <w:tr w:rsidR="00362B94" w:rsidRPr="008A5D8E" w:rsidTr="00362B94">
        <w:tc>
          <w:tcPr>
            <w:tcW w:w="1978"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 xml:space="preserve">المتغيرات </w:t>
            </w:r>
          </w:p>
        </w:tc>
        <w:tc>
          <w:tcPr>
            <w:tcW w:w="1214"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الوسط الحسابي</w:t>
            </w:r>
          </w:p>
        </w:tc>
        <w:tc>
          <w:tcPr>
            <w:tcW w:w="1570"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الانحراف المعياري</w:t>
            </w:r>
          </w:p>
        </w:tc>
        <w:tc>
          <w:tcPr>
            <w:tcW w:w="1426"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معامل الارتباط</w:t>
            </w:r>
          </w:p>
        </w:tc>
        <w:tc>
          <w:tcPr>
            <w:tcW w:w="1157"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 xml:space="preserve">نسبة </w:t>
            </w:r>
            <w:proofErr w:type="spellStart"/>
            <w:r w:rsidRPr="008A5D8E">
              <w:rPr>
                <w:rFonts w:cs="Simplified Arabic" w:hint="cs"/>
                <w:sz w:val="32"/>
                <w:szCs w:val="32"/>
                <w:rtl/>
                <w:lang w:bidi="ar-IQ"/>
              </w:rPr>
              <w:t>الخطا</w:t>
            </w:r>
            <w:proofErr w:type="spellEnd"/>
          </w:p>
        </w:tc>
        <w:tc>
          <w:tcPr>
            <w:tcW w:w="1177"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دلالة</w:t>
            </w:r>
          </w:p>
        </w:tc>
      </w:tr>
      <w:tr w:rsidR="00362B94" w:rsidRPr="008A5D8E" w:rsidTr="00362B94">
        <w:tc>
          <w:tcPr>
            <w:tcW w:w="1978"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 xml:space="preserve">القوة الانفجارية للرجلين </w:t>
            </w:r>
          </w:p>
        </w:tc>
        <w:tc>
          <w:tcPr>
            <w:tcW w:w="1214" w:type="dxa"/>
            <w:tcBorders>
              <w:top w:val="thinThickSmallGap" w:sz="24" w:space="0" w:color="auto"/>
              <w:left w:val="thinThickSmallGap" w:sz="24" w:space="0" w:color="auto"/>
              <w:bottom w:val="thinThickSmallGap" w:sz="24" w:space="0" w:color="auto"/>
              <w:right w:val="thinThickSmallGap" w:sz="24" w:space="0" w:color="auto"/>
            </w:tcBorders>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2,507</w:t>
            </w:r>
          </w:p>
        </w:tc>
        <w:tc>
          <w:tcPr>
            <w:tcW w:w="1570" w:type="dxa"/>
            <w:tcBorders>
              <w:top w:val="thinThickSmallGap" w:sz="24" w:space="0" w:color="auto"/>
              <w:left w:val="thinThickSmallGap" w:sz="24" w:space="0" w:color="auto"/>
              <w:bottom w:val="thinThickSmallGap" w:sz="24" w:space="0" w:color="auto"/>
              <w:right w:val="thinThickSmallGap" w:sz="24" w:space="0" w:color="auto"/>
            </w:tcBorders>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0,782</w:t>
            </w:r>
          </w:p>
        </w:tc>
        <w:tc>
          <w:tcPr>
            <w:tcW w:w="1426" w:type="dxa"/>
            <w:tcBorders>
              <w:top w:val="thinThickSmallGap" w:sz="24" w:space="0" w:color="auto"/>
              <w:left w:val="thinThickSmallGap" w:sz="24" w:space="0" w:color="auto"/>
              <w:bottom w:val="thinThickSmallGap" w:sz="24" w:space="0" w:color="auto"/>
              <w:right w:val="thinThickSmallGap" w:sz="24" w:space="0" w:color="auto"/>
            </w:tcBorders>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0,742</w:t>
            </w:r>
          </w:p>
        </w:tc>
        <w:tc>
          <w:tcPr>
            <w:tcW w:w="1157" w:type="dxa"/>
            <w:tcBorders>
              <w:top w:val="thinThickSmallGap" w:sz="24" w:space="0" w:color="auto"/>
              <w:left w:val="thinThickSmallGap" w:sz="24" w:space="0" w:color="auto"/>
              <w:bottom w:val="thinThickSmallGap" w:sz="24" w:space="0" w:color="auto"/>
              <w:right w:val="thinThickSmallGap" w:sz="24" w:space="0" w:color="auto"/>
            </w:tcBorders>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0,00</w:t>
            </w:r>
          </w:p>
        </w:tc>
        <w:tc>
          <w:tcPr>
            <w:tcW w:w="1177" w:type="dxa"/>
            <w:tcBorders>
              <w:top w:val="thinThickSmallGap" w:sz="24" w:space="0" w:color="auto"/>
              <w:left w:val="thinThickSmallGap" w:sz="24" w:space="0" w:color="auto"/>
              <w:bottom w:val="thinThickSmallGap" w:sz="24" w:space="0" w:color="auto"/>
              <w:right w:val="thinThickSmallGap" w:sz="24" w:space="0" w:color="auto"/>
            </w:tcBorders>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معنوية</w:t>
            </w:r>
          </w:p>
        </w:tc>
      </w:tr>
      <w:tr w:rsidR="00362B94" w:rsidRPr="008A5D8E" w:rsidTr="00362B94">
        <w:tc>
          <w:tcPr>
            <w:tcW w:w="1978" w:type="dxa"/>
            <w:tcBorders>
              <w:top w:val="thinThickSmallGap" w:sz="24" w:space="0" w:color="auto"/>
              <w:left w:val="thinThickSmallGap" w:sz="24" w:space="0" w:color="auto"/>
              <w:bottom w:val="thinThickSmallGap" w:sz="24" w:space="0" w:color="auto"/>
              <w:right w:val="thinThickSmallGap" w:sz="24" w:space="0" w:color="auto"/>
            </w:tcBorders>
            <w:shd w:val="clear" w:color="auto" w:fill="DDD9C3"/>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دقة التصويب</w:t>
            </w:r>
          </w:p>
        </w:tc>
        <w:tc>
          <w:tcPr>
            <w:tcW w:w="1214" w:type="dxa"/>
            <w:tcBorders>
              <w:top w:val="thinThickSmallGap" w:sz="24" w:space="0" w:color="auto"/>
              <w:left w:val="thinThickSmallGap" w:sz="24" w:space="0" w:color="auto"/>
              <w:bottom w:val="thinThickSmallGap" w:sz="24" w:space="0" w:color="auto"/>
              <w:right w:val="thinThickSmallGap" w:sz="24" w:space="0" w:color="auto"/>
            </w:tcBorders>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4,85</w:t>
            </w:r>
          </w:p>
        </w:tc>
        <w:tc>
          <w:tcPr>
            <w:tcW w:w="1570" w:type="dxa"/>
            <w:tcBorders>
              <w:top w:val="thinThickSmallGap" w:sz="24" w:space="0" w:color="auto"/>
              <w:left w:val="thinThickSmallGap" w:sz="24" w:space="0" w:color="auto"/>
              <w:bottom w:val="thinThickSmallGap" w:sz="24" w:space="0" w:color="auto"/>
              <w:right w:val="thinThickSmallGap" w:sz="24" w:space="0" w:color="auto"/>
            </w:tcBorders>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0,745</w:t>
            </w:r>
          </w:p>
        </w:tc>
        <w:tc>
          <w:tcPr>
            <w:tcW w:w="1426" w:type="dxa"/>
            <w:tcBorders>
              <w:top w:val="thinThickSmallGap" w:sz="24" w:space="0" w:color="auto"/>
              <w:left w:val="thinThickSmallGap" w:sz="24" w:space="0" w:color="auto"/>
              <w:bottom w:val="thinThickSmallGap" w:sz="24" w:space="0" w:color="auto"/>
              <w:right w:val="thinThickSmallGap" w:sz="24" w:space="0" w:color="auto"/>
            </w:tcBorders>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 xml:space="preserve">       -</w:t>
            </w:r>
          </w:p>
        </w:tc>
        <w:tc>
          <w:tcPr>
            <w:tcW w:w="1157" w:type="dxa"/>
            <w:tcBorders>
              <w:top w:val="thinThickSmallGap" w:sz="24" w:space="0" w:color="auto"/>
              <w:left w:val="thinThickSmallGap" w:sz="24" w:space="0" w:color="auto"/>
              <w:bottom w:val="thinThickSmallGap" w:sz="24" w:space="0" w:color="auto"/>
              <w:right w:val="thinThickSmallGap" w:sz="24" w:space="0" w:color="auto"/>
            </w:tcBorders>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0,00</w:t>
            </w:r>
          </w:p>
        </w:tc>
        <w:tc>
          <w:tcPr>
            <w:tcW w:w="1177" w:type="dxa"/>
            <w:tcBorders>
              <w:top w:val="thinThickSmallGap" w:sz="24" w:space="0" w:color="auto"/>
              <w:left w:val="thinThickSmallGap" w:sz="24" w:space="0" w:color="auto"/>
              <w:bottom w:val="thinThickSmallGap" w:sz="24" w:space="0" w:color="auto"/>
              <w:right w:val="thinThickSmallGap" w:sz="24" w:space="0" w:color="auto"/>
            </w:tcBorders>
          </w:tcPr>
          <w:p w:rsidR="00362B94" w:rsidRPr="008A5D8E" w:rsidRDefault="00362B94" w:rsidP="00F32F59">
            <w:pPr>
              <w:rPr>
                <w:rFonts w:cs="Simplified Arabic"/>
                <w:sz w:val="32"/>
                <w:szCs w:val="32"/>
                <w:rtl/>
                <w:lang w:bidi="ar-IQ"/>
              </w:rPr>
            </w:pPr>
            <w:r w:rsidRPr="008A5D8E">
              <w:rPr>
                <w:rFonts w:cs="Simplified Arabic" w:hint="cs"/>
                <w:sz w:val="32"/>
                <w:szCs w:val="32"/>
                <w:rtl/>
                <w:lang w:bidi="ar-IQ"/>
              </w:rPr>
              <w:t>معنوية</w:t>
            </w:r>
          </w:p>
        </w:tc>
      </w:tr>
    </w:tbl>
    <w:p w:rsidR="00362B94" w:rsidRDefault="00362B94" w:rsidP="001F4BFF">
      <w:pPr>
        <w:spacing w:after="0" w:line="240" w:lineRule="auto"/>
        <w:rPr>
          <w:rFonts w:ascii="Times New Roman" w:eastAsia="Times New Roman" w:hAnsi="Times New Roman" w:cs="Times New Roman"/>
          <w:b/>
          <w:color w:val="FF0000"/>
          <w:sz w:val="32"/>
          <w:rtl/>
        </w:rPr>
      </w:pPr>
      <w:r w:rsidRPr="00362B94">
        <w:rPr>
          <w:rFonts w:ascii="Times New Roman" w:eastAsia="Times New Roman" w:hAnsi="Times New Roman" w:cs="Times New Roman"/>
          <w:b/>
          <w:color w:val="FF0000"/>
          <w:sz w:val="32"/>
          <w:rtl/>
        </w:rPr>
        <w:t xml:space="preserve">من خلال الاطلاع على الجدول (2) والذي يوضح نتائج الاختبار القوة الانفجارية للرجلين ، يتضح لنا ان المتوسط الحسابي للاختبار بلغ ( 2,507) ، وبانحراف معياري ( 0,782)، ومعامل الارتباط (0,742) ونسبة </w:t>
      </w:r>
      <w:proofErr w:type="spellStart"/>
      <w:r w:rsidRPr="00362B94">
        <w:rPr>
          <w:rFonts w:ascii="Times New Roman" w:eastAsia="Times New Roman" w:hAnsi="Times New Roman" w:cs="Times New Roman"/>
          <w:b/>
          <w:color w:val="FF0000"/>
          <w:sz w:val="32"/>
          <w:rtl/>
        </w:rPr>
        <w:t>الخطا</w:t>
      </w:r>
      <w:proofErr w:type="spellEnd"/>
      <w:r w:rsidRPr="00362B94">
        <w:rPr>
          <w:rFonts w:ascii="Times New Roman" w:eastAsia="Times New Roman" w:hAnsi="Times New Roman" w:cs="Times New Roman"/>
          <w:b/>
          <w:color w:val="FF0000"/>
          <w:sz w:val="32"/>
          <w:rtl/>
        </w:rPr>
        <w:t xml:space="preserve"> (0,00).</w:t>
      </w:r>
    </w:p>
    <w:p w:rsidR="004E76B2" w:rsidRDefault="009F469F" w:rsidP="00362B94">
      <w:pPr>
        <w:spacing w:after="0" w:line="240" w:lineRule="auto"/>
        <w:rPr>
          <w:rFonts w:ascii="Times New Roman" w:eastAsia="Times New Roman" w:hAnsi="Times New Roman" w:cs="Times New Roman"/>
          <w:b/>
          <w:color w:val="FF0000"/>
          <w:sz w:val="32"/>
          <w:rtl/>
        </w:rPr>
      </w:pPr>
      <w:r>
        <w:rPr>
          <w:rFonts w:ascii="Times New Roman" w:eastAsia="Times New Roman" w:hAnsi="Times New Roman" w:cs="Times New Roman"/>
          <w:b/>
          <w:bCs/>
          <w:color w:val="FF0000"/>
          <w:sz w:val="32"/>
          <w:szCs w:val="32"/>
          <w:rtl/>
        </w:rPr>
        <w:t>أهم الاستنتاجات</w:t>
      </w:r>
      <w:r w:rsidR="00024AEE">
        <w:rPr>
          <w:rFonts w:ascii="Times New Roman" w:eastAsia="Times New Roman" w:hAnsi="Times New Roman" w:cs="Times New Roman"/>
          <w:b/>
          <w:color w:val="FF0000"/>
          <w:sz w:val="32"/>
        </w:rPr>
        <w:t>1</w:t>
      </w:r>
      <w:r>
        <w:rPr>
          <w:rFonts w:ascii="Times New Roman" w:eastAsia="Times New Roman" w:hAnsi="Times New Roman" w:cs="Times New Roman"/>
          <w:b/>
          <w:color w:val="FF0000"/>
          <w:sz w:val="32"/>
        </w:rPr>
        <w:t>.</w:t>
      </w:r>
      <w:r w:rsidR="00362B94">
        <w:rPr>
          <w:rFonts w:ascii="Times New Roman" w:eastAsia="Times New Roman" w:hAnsi="Times New Roman" w:cs="Times New Roman" w:hint="cs"/>
          <w:b/>
          <w:color w:val="FF0000"/>
          <w:sz w:val="32"/>
          <w:rtl/>
        </w:rPr>
        <w:t>_</w:t>
      </w:r>
      <w:r w:rsidR="00362B94" w:rsidRPr="00362B94">
        <w:rPr>
          <w:rFonts w:ascii="Times New Roman" w:eastAsia="Times New Roman" w:hAnsi="Times New Roman" w:cs="Times New Roman"/>
          <w:b/>
          <w:color w:val="FF0000"/>
          <w:sz w:val="32"/>
          <w:rtl/>
        </w:rPr>
        <w:t>.</w:t>
      </w:r>
      <w:r w:rsidR="00362B94" w:rsidRPr="00362B94">
        <w:rPr>
          <w:rFonts w:ascii="Times New Roman" w:eastAsia="Times New Roman" w:hAnsi="Times New Roman" w:cs="Times New Roman"/>
          <w:b/>
          <w:color w:val="FF0000"/>
          <w:sz w:val="32"/>
          <w:rtl/>
        </w:rPr>
        <w:tab/>
        <w:t>هنالك علاقة ارتباط معنوية بين القوة الانفجارية للرجلين ودقة التصويب بكرة اليد لعينة البحث.</w:t>
      </w:r>
    </w:p>
    <w:p w:rsidR="00362B94" w:rsidRPr="00362B94" w:rsidRDefault="009F469F" w:rsidP="00362B94">
      <w:pPr>
        <w:spacing w:after="0" w:line="240" w:lineRule="auto"/>
        <w:rPr>
          <w:rFonts w:ascii="Times New Roman" w:eastAsia="Times New Roman" w:hAnsi="Times New Roman" w:cs="Times New Roman"/>
          <w:b/>
          <w:color w:val="FF0000"/>
          <w:sz w:val="32"/>
          <w:rtl/>
        </w:rPr>
      </w:pPr>
      <w:r>
        <w:rPr>
          <w:rFonts w:ascii="Times New Roman" w:eastAsia="Times New Roman" w:hAnsi="Times New Roman" w:cs="Times New Roman"/>
          <w:b/>
          <w:bCs/>
          <w:color w:val="FF0000"/>
          <w:sz w:val="32"/>
          <w:szCs w:val="32"/>
          <w:rtl/>
        </w:rPr>
        <w:t>أهم التوصيات</w:t>
      </w:r>
      <w:r>
        <w:rPr>
          <w:rFonts w:ascii="Times New Roman" w:eastAsia="Times New Roman" w:hAnsi="Times New Roman" w:cs="Times New Roman"/>
          <w:b/>
          <w:color w:val="FF0000"/>
          <w:sz w:val="32"/>
        </w:rPr>
        <w:t>.</w:t>
      </w:r>
      <w:r w:rsidR="00362B94">
        <w:rPr>
          <w:rFonts w:ascii="Times New Roman" w:eastAsia="Times New Roman" w:hAnsi="Times New Roman" w:cs="Times New Roman"/>
          <w:sz w:val="24"/>
        </w:rPr>
        <w:t xml:space="preserve"> </w:t>
      </w:r>
      <w:r w:rsidR="00362B94" w:rsidRPr="00362B94">
        <w:rPr>
          <w:rFonts w:ascii="Times New Roman" w:eastAsia="Times New Roman" w:hAnsi="Times New Roman" w:cs="Times New Roman"/>
          <w:b/>
          <w:color w:val="FF0000"/>
          <w:sz w:val="32"/>
          <w:rtl/>
        </w:rPr>
        <w:t>-  من الضروري التأكيد على القوة الانفجارية  بالطرق والأساليب للاعبي كرة اليد.</w:t>
      </w:r>
    </w:p>
    <w:p w:rsidR="004E76B2" w:rsidRPr="00362B94" w:rsidRDefault="00362B94" w:rsidP="00362B94">
      <w:pPr>
        <w:spacing w:after="0" w:line="240" w:lineRule="auto"/>
        <w:rPr>
          <w:rFonts w:ascii="Times New Roman" w:eastAsia="Times New Roman" w:hAnsi="Times New Roman" w:cs="Times New Roman"/>
          <w:b/>
          <w:color w:val="FF0000"/>
          <w:sz w:val="32"/>
        </w:rPr>
      </w:pPr>
      <w:r w:rsidRPr="00362B94">
        <w:rPr>
          <w:rFonts w:ascii="Times New Roman" w:eastAsia="Times New Roman" w:hAnsi="Times New Roman" w:cs="Times New Roman"/>
          <w:b/>
          <w:color w:val="FF0000"/>
          <w:sz w:val="32"/>
          <w:rtl/>
        </w:rPr>
        <w:t xml:space="preserve">2-  أن تكون تدريبات القوة العضلية وفقا للمسارات الحركية للمهارات الأساسية بكرة </w:t>
      </w:r>
      <w:proofErr w:type="spellStart"/>
      <w:r w:rsidRPr="00362B94">
        <w:rPr>
          <w:rFonts w:ascii="Times New Roman" w:eastAsia="Times New Roman" w:hAnsi="Times New Roman" w:cs="Times New Roman"/>
          <w:b/>
          <w:color w:val="FF0000"/>
          <w:sz w:val="32"/>
          <w:rtl/>
        </w:rPr>
        <w:t>االيد</w:t>
      </w:r>
      <w:proofErr w:type="spellEnd"/>
      <w:r w:rsidRPr="00362B94">
        <w:rPr>
          <w:rFonts w:ascii="Times New Roman" w:eastAsia="Times New Roman" w:hAnsi="Times New Roman" w:cs="Times New Roman"/>
          <w:b/>
          <w:color w:val="FF0000"/>
          <w:sz w:val="32"/>
          <w:rtl/>
        </w:rPr>
        <w:t xml:space="preserve"> .</w:t>
      </w:r>
    </w:p>
    <w:sectPr w:rsidR="004E76B2" w:rsidRPr="00362B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B2"/>
    <w:rsid w:val="00024AEE"/>
    <w:rsid w:val="001D24EC"/>
    <w:rsid w:val="001F4BFF"/>
    <w:rsid w:val="002F0E9F"/>
    <w:rsid w:val="00362B94"/>
    <w:rsid w:val="00400CE5"/>
    <w:rsid w:val="00415655"/>
    <w:rsid w:val="004D7F7B"/>
    <w:rsid w:val="004E76B2"/>
    <w:rsid w:val="006B30DC"/>
    <w:rsid w:val="00776240"/>
    <w:rsid w:val="00784118"/>
    <w:rsid w:val="00957FDB"/>
    <w:rsid w:val="009F469F"/>
    <w:rsid w:val="00B13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ITECH</dc:creator>
  <cp:lastModifiedBy>ITECH</cp:lastModifiedBy>
  <cp:revision>2</cp:revision>
  <dcterms:created xsi:type="dcterms:W3CDTF">2019-05-09T08:25:00Z</dcterms:created>
  <dcterms:modified xsi:type="dcterms:W3CDTF">2019-05-09T08:25:00Z</dcterms:modified>
</cp:coreProperties>
</file>